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19" w:rsidRDefault="00DE4119" w:rsidP="00DE4119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Articolo 38</w:t>
      </w:r>
    </w:p>
    <w:p w:rsidR="00DE4119" w:rsidRDefault="00DE4119" w:rsidP="00DE4119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L'Unione definisce e attua una politica comune dell'agricoltura e della pesca.</w:t>
      </w:r>
    </w:p>
    <w:p w:rsidR="00DE4119" w:rsidRDefault="00DE4119" w:rsidP="00DE4119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Il mercato interno comprende l'agricoltura, la pesca e il commercio dei prodotti agricoli. Per prodotti</w:t>
      </w:r>
    </w:p>
    <w:p w:rsidR="00DE4119" w:rsidRDefault="00DE4119" w:rsidP="00DE4119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agricoli si intendono i prodotti del suolo, dell'allevamento e della pesca, come pure i prodotti di</w:t>
      </w:r>
    </w:p>
    <w:p w:rsidR="00DE4119" w:rsidRDefault="00DE4119" w:rsidP="00DE4119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prima trasformazione che sono in diretta connessione con tali prodotti. I riferimenti alla politica</w:t>
      </w:r>
    </w:p>
    <w:p w:rsidR="00DE4119" w:rsidRDefault="00DE4119" w:rsidP="00DE4119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agricola comune o all'agricoltura e l'uso del termine «agricolo» si intendono applicabili anche alla</w:t>
      </w:r>
    </w:p>
    <w:p w:rsidR="00DE4119" w:rsidRDefault="00DE4119" w:rsidP="00DE4119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pesca, tenendo conto delle caratteristiche specifiche di questo settore.</w:t>
      </w:r>
    </w:p>
    <w:p w:rsidR="00DE4119" w:rsidRDefault="00DE4119" w:rsidP="00DE4119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2. Salvo contrarie disposizioni degli articoli da 39 a 44 inclusi, le norme previste per l'instaurazione</w:t>
      </w:r>
    </w:p>
    <w:p w:rsidR="00DE4119" w:rsidRDefault="00DE4119" w:rsidP="00DE4119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o il funzionamento del mercato interno sono applicabili ai prodotti agricoli.</w:t>
      </w:r>
    </w:p>
    <w:p w:rsidR="00DE4119" w:rsidRDefault="00DE4119" w:rsidP="00DE4119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3. I prodotti cui si applicano le disposizioni degli articoli da 39 a 44 inclusi sono enumerati</w:t>
      </w:r>
    </w:p>
    <w:p w:rsidR="00DE4119" w:rsidRDefault="00DE4119" w:rsidP="00DE4119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nell'elenco che costituisce l'allegato I.</w:t>
      </w:r>
    </w:p>
    <w:p w:rsidR="00DE4119" w:rsidRDefault="00DE4119" w:rsidP="00DE4119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4. Il funzionamento e lo sviluppo del mercato interno per i prodotti agricoli devono essere</w:t>
      </w:r>
    </w:p>
    <w:p w:rsidR="00026FEC" w:rsidRDefault="00DE4119" w:rsidP="00DE4119">
      <w:pPr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accompagnati dall'instaurazione di una politica agricola comune.</w:t>
      </w:r>
    </w:p>
    <w:p w:rsidR="00DE4119" w:rsidRDefault="00DE4119" w:rsidP="00DE4119">
      <w:pPr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Articolo 44</w:t>
      </w:r>
    </w:p>
    <w:p w:rsidR="00DE4119" w:rsidRDefault="00DE4119" w:rsidP="00DE4119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Quando in uno Stato membro un prodotto è disciplinato da un'organizzazione nazionale del</w:t>
      </w:r>
    </w:p>
    <w:p w:rsidR="00DE4119" w:rsidRDefault="00DE4119" w:rsidP="00DE4119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mercato o da qualsiasi regolamentazione interna di effetto equivalente che sia pregiudizievole alla</w:t>
      </w:r>
    </w:p>
    <w:p w:rsidR="00DE4119" w:rsidRDefault="00DE4119" w:rsidP="00DE4119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concorrenza di una produzione similare in un altro Stato membro, gli Stati membri applicano al</w:t>
      </w:r>
    </w:p>
    <w:p w:rsidR="00DE4119" w:rsidRDefault="00DE4119" w:rsidP="00DE4119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prodotto in questione in provenienza dallo Stato membro ove sussista l'organizzazione ovvero la</w:t>
      </w:r>
    </w:p>
    <w:p w:rsidR="00DE4119" w:rsidRDefault="00DE4119" w:rsidP="00DE4119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regolamentazione suddetta una tassa di compensazione all'entrata, salvo che tale Stato non applichi</w:t>
      </w:r>
    </w:p>
    <w:p w:rsidR="00DE4119" w:rsidRDefault="00DE4119" w:rsidP="00DE4119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una tassa di compensazione all'esportazione.</w:t>
      </w:r>
    </w:p>
    <w:p w:rsidR="00DE4119" w:rsidRDefault="00DE4119" w:rsidP="00DE4119">
      <w:pPr>
        <w:autoSpaceDE w:val="0"/>
        <w:autoSpaceDN w:val="0"/>
        <w:adjustRightInd w:val="0"/>
        <w:spacing w:after="0" w:line="240" w:lineRule="auto"/>
        <w:rPr>
          <w:rFonts w:ascii="EUAlbertina-Regu" w:hAnsi="EUAlbertina-Regu" w:cs="EUAlbertina-Regu"/>
          <w:sz w:val="25"/>
          <w:szCs w:val="25"/>
        </w:rPr>
      </w:pPr>
      <w:r>
        <w:rPr>
          <w:rFonts w:ascii="EUAlbertina-Regu" w:hAnsi="EUAlbertina-Regu" w:cs="EUAlbertina-Regu"/>
          <w:sz w:val="25"/>
          <w:szCs w:val="25"/>
        </w:rPr>
        <w:t>La Commissione fissa l'ammontare di tali tasse nella misura necessaria a ristabilire l'equilibrio; essa</w:t>
      </w:r>
    </w:p>
    <w:p w:rsidR="00DE4119" w:rsidRDefault="00DE4119" w:rsidP="00DE4119">
      <w:r>
        <w:rPr>
          <w:rFonts w:ascii="EUAlbertina-Regu" w:hAnsi="EUAlbertina-Regu" w:cs="EUAlbertina-Regu"/>
          <w:sz w:val="25"/>
          <w:szCs w:val="25"/>
        </w:rPr>
        <w:t>può ugualmente autorizzare il ricorso ad altre misure di cui determina le condizioni e modalità.</w:t>
      </w:r>
      <w:bookmarkStart w:id="0" w:name="_GoBack"/>
      <w:bookmarkEnd w:id="0"/>
    </w:p>
    <w:sectPr w:rsidR="00DE4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-Reg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32"/>
    <w:rsid w:val="00026FEC"/>
    <w:rsid w:val="00B23732"/>
    <w:rsid w:val="00D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BC72-711F-4A06-B502-3C6DC531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</dc:creator>
  <cp:keywords/>
  <dc:description/>
  <cp:lastModifiedBy>peppe</cp:lastModifiedBy>
  <cp:revision>2</cp:revision>
  <dcterms:created xsi:type="dcterms:W3CDTF">2016-08-19T09:27:00Z</dcterms:created>
  <dcterms:modified xsi:type="dcterms:W3CDTF">2016-08-19T09:28:00Z</dcterms:modified>
</cp:coreProperties>
</file>